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6D9A53F7"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r w:rsidR="002E1E0C">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53AAEA6F"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4A9D">
        <w:rPr>
          <w:b/>
          <w:caps/>
          <w:color w:val="004650"/>
          <w:sz w:val="28"/>
        </w:rPr>
        <w:t xml:space="preserve"> </w:t>
      </w:r>
      <w:r w:rsidR="00410FFA">
        <w:rPr>
          <w:b/>
          <w:caps/>
          <w:color w:val="004650"/>
          <w:sz w:val="28"/>
        </w:rPr>
        <w:t>A MEZINÁRODNÍCH SANKCÍCH</w:t>
      </w:r>
      <w:r w:rsidR="00231B7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01708B0"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D16C9">
        <w:rPr>
          <w:b/>
          <w:bCs/>
          <w:color w:val="004650"/>
          <w:lang w:eastAsia="cs-CZ"/>
        </w:rPr>
        <w:t>Centrum neformálního vzdělávání Hájenka Černé les</w:t>
      </w:r>
      <w:r w:rsidR="00F856E5">
        <w:rPr>
          <w:b/>
          <w:bCs/>
          <w:color w:val="004650"/>
          <w:lang w:eastAsia="cs-CZ"/>
        </w:rPr>
        <w:t>y,</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6C226A4E" w:rsidR="00FB4B9A" w:rsidRPr="000F6ACF" w:rsidRDefault="00FB4B9A" w:rsidP="00FB4B9A">
      <w:pPr>
        <w:pStyle w:val="2nesltext"/>
        <w:keepNext/>
      </w:pPr>
      <w:r w:rsidRPr="007B01C2">
        <w:rPr>
          <w:i/>
        </w:rPr>
        <w:t>(podpis)</w:t>
      </w:r>
      <w:r>
        <w:rPr>
          <w:i/>
        </w:rPr>
        <w:t xml:space="preserve">  </w:t>
      </w:r>
      <w:r w:rsidR="003960B8">
        <w:rPr>
          <w:i/>
        </w:rPr>
        <w:t xml:space="preserve"> </w:t>
      </w:r>
      <w:r w:rsidR="005C3CFE">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D1579" w14:textId="77777777" w:rsidR="00391AE8" w:rsidRDefault="00391AE8">
      <w:pPr>
        <w:spacing w:after="0" w:line="240" w:lineRule="auto"/>
      </w:pPr>
      <w:r>
        <w:separator/>
      </w:r>
    </w:p>
  </w:endnote>
  <w:endnote w:type="continuationSeparator" w:id="0">
    <w:p w14:paraId="722F85F3" w14:textId="77777777" w:rsidR="00391AE8" w:rsidRDefault="0039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A403E" w14:textId="77777777" w:rsidR="00391AE8" w:rsidRDefault="00391AE8">
      <w:pPr>
        <w:spacing w:after="0" w:line="240" w:lineRule="auto"/>
      </w:pPr>
      <w:r>
        <w:separator/>
      </w:r>
    </w:p>
  </w:footnote>
  <w:footnote w:type="continuationSeparator" w:id="0">
    <w:p w14:paraId="7656C39B" w14:textId="77777777" w:rsidR="00391AE8" w:rsidRDefault="00391AE8">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3AB"/>
    <w:rsid w:val="00072A44"/>
    <w:rsid w:val="00092ABC"/>
    <w:rsid w:val="000B6043"/>
    <w:rsid w:val="000D70F6"/>
    <w:rsid w:val="000E6CC0"/>
    <w:rsid w:val="000F09CD"/>
    <w:rsid w:val="00105775"/>
    <w:rsid w:val="00121BAF"/>
    <w:rsid w:val="001226E6"/>
    <w:rsid w:val="001332F9"/>
    <w:rsid w:val="00180B8E"/>
    <w:rsid w:val="00186A69"/>
    <w:rsid w:val="00187880"/>
    <w:rsid w:val="00187EAE"/>
    <w:rsid w:val="001E1A2A"/>
    <w:rsid w:val="001F5F9F"/>
    <w:rsid w:val="00223834"/>
    <w:rsid w:val="00231B75"/>
    <w:rsid w:val="00237110"/>
    <w:rsid w:val="002402A5"/>
    <w:rsid w:val="00245AA0"/>
    <w:rsid w:val="002512C7"/>
    <w:rsid w:val="002573F1"/>
    <w:rsid w:val="0027084E"/>
    <w:rsid w:val="00287B22"/>
    <w:rsid w:val="002A0B7D"/>
    <w:rsid w:val="002E1E0C"/>
    <w:rsid w:val="00324711"/>
    <w:rsid w:val="00335412"/>
    <w:rsid w:val="0033727A"/>
    <w:rsid w:val="00344F91"/>
    <w:rsid w:val="003452AA"/>
    <w:rsid w:val="0035418C"/>
    <w:rsid w:val="00391AE8"/>
    <w:rsid w:val="00392453"/>
    <w:rsid w:val="003960B8"/>
    <w:rsid w:val="0039722E"/>
    <w:rsid w:val="003E6A29"/>
    <w:rsid w:val="003F1A44"/>
    <w:rsid w:val="003F6770"/>
    <w:rsid w:val="00407AA0"/>
    <w:rsid w:val="00410FFA"/>
    <w:rsid w:val="00443145"/>
    <w:rsid w:val="00483567"/>
    <w:rsid w:val="004A1D1D"/>
    <w:rsid w:val="004A2C11"/>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2BB9"/>
    <w:rsid w:val="005A1471"/>
    <w:rsid w:val="005B3501"/>
    <w:rsid w:val="005C3CFE"/>
    <w:rsid w:val="005D189A"/>
    <w:rsid w:val="005D30B1"/>
    <w:rsid w:val="005E0C78"/>
    <w:rsid w:val="005F2E9C"/>
    <w:rsid w:val="00602A28"/>
    <w:rsid w:val="006054EA"/>
    <w:rsid w:val="00615262"/>
    <w:rsid w:val="00650D93"/>
    <w:rsid w:val="006729E1"/>
    <w:rsid w:val="00694A9D"/>
    <w:rsid w:val="006B0C5A"/>
    <w:rsid w:val="006C2487"/>
    <w:rsid w:val="006F3FFF"/>
    <w:rsid w:val="0071350A"/>
    <w:rsid w:val="00736BFE"/>
    <w:rsid w:val="0074659A"/>
    <w:rsid w:val="00747622"/>
    <w:rsid w:val="007609A3"/>
    <w:rsid w:val="00777964"/>
    <w:rsid w:val="007840FA"/>
    <w:rsid w:val="0079681E"/>
    <w:rsid w:val="007976C5"/>
    <w:rsid w:val="007F1DE9"/>
    <w:rsid w:val="007F7544"/>
    <w:rsid w:val="007F7B37"/>
    <w:rsid w:val="008055FE"/>
    <w:rsid w:val="0082042E"/>
    <w:rsid w:val="008228FB"/>
    <w:rsid w:val="008230B9"/>
    <w:rsid w:val="0082781F"/>
    <w:rsid w:val="00846A56"/>
    <w:rsid w:val="008515C7"/>
    <w:rsid w:val="0086535D"/>
    <w:rsid w:val="00897A42"/>
    <w:rsid w:val="008B534B"/>
    <w:rsid w:val="008C0A06"/>
    <w:rsid w:val="008C7D7B"/>
    <w:rsid w:val="008F34A3"/>
    <w:rsid w:val="00903E4A"/>
    <w:rsid w:val="0092243F"/>
    <w:rsid w:val="00922D67"/>
    <w:rsid w:val="009279A4"/>
    <w:rsid w:val="00944F28"/>
    <w:rsid w:val="009710E8"/>
    <w:rsid w:val="00991DEA"/>
    <w:rsid w:val="00997ADD"/>
    <w:rsid w:val="009A2074"/>
    <w:rsid w:val="009B688D"/>
    <w:rsid w:val="009B7C6B"/>
    <w:rsid w:val="00A27E50"/>
    <w:rsid w:val="00A30157"/>
    <w:rsid w:val="00A41D81"/>
    <w:rsid w:val="00A61FE4"/>
    <w:rsid w:val="00A66478"/>
    <w:rsid w:val="00A71A17"/>
    <w:rsid w:val="00A723D1"/>
    <w:rsid w:val="00B07E4C"/>
    <w:rsid w:val="00B20C26"/>
    <w:rsid w:val="00B30AED"/>
    <w:rsid w:val="00B3584E"/>
    <w:rsid w:val="00B36D3C"/>
    <w:rsid w:val="00B40CAF"/>
    <w:rsid w:val="00B4127E"/>
    <w:rsid w:val="00B87008"/>
    <w:rsid w:val="00B935D1"/>
    <w:rsid w:val="00BA2ADE"/>
    <w:rsid w:val="00BB024C"/>
    <w:rsid w:val="00BC11CE"/>
    <w:rsid w:val="00C316DE"/>
    <w:rsid w:val="00C3483E"/>
    <w:rsid w:val="00C36CD8"/>
    <w:rsid w:val="00C443E4"/>
    <w:rsid w:val="00C55B36"/>
    <w:rsid w:val="00C6348F"/>
    <w:rsid w:val="00C77401"/>
    <w:rsid w:val="00C85B43"/>
    <w:rsid w:val="00C8648A"/>
    <w:rsid w:val="00C96B15"/>
    <w:rsid w:val="00C96FC6"/>
    <w:rsid w:val="00CA5A31"/>
    <w:rsid w:val="00CB2CE0"/>
    <w:rsid w:val="00CB659B"/>
    <w:rsid w:val="00CB7A83"/>
    <w:rsid w:val="00CD16C9"/>
    <w:rsid w:val="00D036A0"/>
    <w:rsid w:val="00D0521F"/>
    <w:rsid w:val="00D33F8E"/>
    <w:rsid w:val="00D35BE4"/>
    <w:rsid w:val="00D413BD"/>
    <w:rsid w:val="00DA643F"/>
    <w:rsid w:val="00DB2B6E"/>
    <w:rsid w:val="00DC37E0"/>
    <w:rsid w:val="00DE2167"/>
    <w:rsid w:val="00E02D11"/>
    <w:rsid w:val="00E15560"/>
    <w:rsid w:val="00E22AA9"/>
    <w:rsid w:val="00E33225"/>
    <w:rsid w:val="00E36BBB"/>
    <w:rsid w:val="00E708E4"/>
    <w:rsid w:val="00E8112D"/>
    <w:rsid w:val="00E85837"/>
    <w:rsid w:val="00E86468"/>
    <w:rsid w:val="00E96C8C"/>
    <w:rsid w:val="00E96E3F"/>
    <w:rsid w:val="00EB23D7"/>
    <w:rsid w:val="00EB3B33"/>
    <w:rsid w:val="00EB411A"/>
    <w:rsid w:val="00ED036D"/>
    <w:rsid w:val="00EE0C68"/>
    <w:rsid w:val="00F04E1C"/>
    <w:rsid w:val="00F06188"/>
    <w:rsid w:val="00F30A16"/>
    <w:rsid w:val="00F6612A"/>
    <w:rsid w:val="00F74777"/>
    <w:rsid w:val="00F856E5"/>
    <w:rsid w:val="00F905A0"/>
    <w:rsid w:val="00F93409"/>
    <w:rsid w:val="00F9517F"/>
    <w:rsid w:val="00FA3060"/>
    <w:rsid w:val="00FA55ED"/>
    <w:rsid w:val="00FB4B9A"/>
    <w:rsid w:val="00FE5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2578</Characters>
  <Application>Microsoft Office Word</Application>
  <DocSecurity>0</DocSecurity>
  <Lines>21</Lines>
  <Paragraphs>6</Paragraphs>
  <ScaleCrop>false</ScaleCrop>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2025-09-01T12:37:00Z</dcterms:modified>
</cp:coreProperties>
</file>